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6D32" w14:textId="4FA1F774" w:rsidR="009773A5" w:rsidRDefault="009773A5"/>
    <w:sdt>
      <w:sdtPr>
        <w:id w:val="-797756204"/>
        <w:docPartObj>
          <w:docPartGallery w:val="Cover Pages"/>
          <w:docPartUnique/>
        </w:docPartObj>
      </w:sdtPr>
      <w:sdtEndPr>
        <w:rPr>
          <w:b/>
          <w:sz w:val="28"/>
          <w:szCs w:val="28"/>
        </w:rPr>
      </w:sdtEndPr>
      <w:sdtContent>
        <w:p w14:paraId="566FDD8B" w14:textId="327B2D1A" w:rsidR="007C75E6" w:rsidRDefault="009773A5">
          <w:r>
            <w:rPr>
              <w:noProof/>
            </w:rPr>
            <mc:AlternateContent>
              <mc:Choice Requires="wpg">
                <w:drawing>
                  <wp:anchor distT="0" distB="0" distL="114300" distR="114300" simplePos="0" relativeHeight="251661312" behindDoc="1" locked="0" layoutInCell="1" allowOverlap="1" wp14:anchorId="4F5AD691" wp14:editId="032E117F">
                    <wp:simplePos x="0" y="0"/>
                    <wp:positionH relativeFrom="margin">
                      <wp:posOffset>-409575</wp:posOffset>
                    </wp:positionH>
                    <wp:positionV relativeFrom="page">
                      <wp:posOffset>676275</wp:posOffset>
                    </wp:positionV>
                    <wp:extent cx="6758189" cy="6905097"/>
                    <wp:effectExtent l="0" t="0" r="508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758189" cy="6905097"/>
                              <a:chOff x="0" y="-1"/>
                              <a:chExt cx="5561330" cy="5500522"/>
                            </a:xfrm>
                          </wpg:grpSpPr>
                          <wps:wsp>
                            <wps:cNvPr id="126" name="Freeform 10"/>
                            <wps:cNvSpPr>
                              <a:spLocks/>
                            </wps:cNvSpPr>
                            <wps:spPr bwMode="auto">
                              <a:xfrm>
                                <a:off x="0" y="-1"/>
                                <a:ext cx="5557520" cy="5500522"/>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bg1">
                                  <a:lumMod val="85000"/>
                                </a:schemeClr>
                              </a:solidFill>
                              <a:ln>
                                <a:noFill/>
                              </a:ln>
                            </wps:spPr>
                            <wps:style>
                              <a:lnRef idx="0">
                                <a:scrgbClr r="0" g="0" b="0"/>
                              </a:lnRef>
                              <a:fillRef idx="1003">
                                <a:schemeClr val="dk2"/>
                              </a:fillRef>
                              <a:effectRef idx="0">
                                <a:scrgbClr r="0" g="0" b="0"/>
                              </a:effectRef>
                              <a:fontRef idx="major"/>
                            </wps:style>
                            <wps:txbx>
                              <w:txbxContent>
                                <w:p w14:paraId="48A378C4" w14:textId="5BD9CF0D" w:rsidR="007C75E6" w:rsidRPr="007C75E6" w:rsidRDefault="007C75E6">
                                  <w:pPr>
                                    <w:rPr>
                                      <w:rFonts w:ascii="Futura" w:hAnsi="Futura" w:cs="Futura"/>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F5AD691" id="Group 125" o:spid="_x0000_s1026" style="position:absolute;margin-left:-32.25pt;margin-top:53.25pt;width:532.15pt;height:543.7pt;z-index:-251655168;mso-position-horizontal-relative:margin;mso-position-vertical-relative:page;mso-width-relative:margin" coordorigin="" coordsize="55613,550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">
                    <o:lock v:ext="edit" aspectratio="t"/>
                    <v:shape id="Freeform 10" o:spid="_x0000_s1027" style="position:absolute;width:55575;height:55005;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" adj="-11796480,,5400" path="m,c,644,,644,,644v23,6,62,14,113,21c250,685,476,700,720,644v,-27,,-27,,-27c720,,720,,720,,,,,,,e" fillcolor="#d8d8d8 [2732]" stroked="f">
                      <v:stroke joinstyle="miter"/>
                      <v:formulas/>
                      <v:path arrowok="t" o:connecttype="custom" o:connectlocs="0,0;0,5060480;872222,5225496;5557520,5060480;5557520,4848317;5557520,0;0,0" o:connectangles="0,0,0,0,0,0,0" textboxrect="0,0,720,700"/>
                      <v:textbox inset="1in,86.4pt,86.4pt,86.4pt">
                        <w:txbxContent>
                          <w:p w14:paraId="48A378C4" w14:textId="5BD9CF0D" w:rsidR="007C75E6" w:rsidRPr="007C75E6" w:rsidRDefault="007C75E6">
                            <w:pPr>
                              <w:rPr>
                                <w:rFonts w:ascii="Futura" w:hAnsi="Futura" w:cs="Futura"/>
                                <w:color w:val="FFFFFF" w:themeColor="background1"/>
                                <w:sz w:val="72"/>
                                <w:szCs w:val="72"/>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&#13;&#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6249EC1E" w14:textId="139EF51C" w:rsidR="00A37A61" w:rsidRPr="009773A5" w:rsidRDefault="009773A5" w:rsidP="009773A5">
          <w:pPr>
            <w:rPr>
              <w:b/>
              <w:sz w:val="28"/>
              <w:szCs w:val="28"/>
            </w:rPr>
          </w:pPr>
          <w:r>
            <w:rPr>
              <w:noProof/>
            </w:rPr>
            <mc:AlternateContent>
              <mc:Choice Requires="wps">
                <w:drawing>
                  <wp:anchor distT="45720" distB="45720" distL="114300" distR="114300" simplePos="0" relativeHeight="251668480" behindDoc="0" locked="0" layoutInCell="1" allowOverlap="1" wp14:anchorId="4833311C" wp14:editId="44EA951B">
                    <wp:simplePos x="0" y="0"/>
                    <wp:positionH relativeFrom="column">
                      <wp:posOffset>-96520</wp:posOffset>
                    </wp:positionH>
                    <wp:positionV relativeFrom="paragraph">
                      <wp:posOffset>4404995</wp:posOffset>
                    </wp:positionV>
                    <wp:extent cx="4523740" cy="10102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1010285"/>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14:paraId="6D9134DA" w14:textId="1DF1B205" w:rsidR="009773A5" w:rsidRDefault="009773A5">
                                <w:pPr>
                                  <w:rPr>
                                    <w:rFonts w:ascii="Futura Bk BT" w:hAnsi="Futura Bk BT" w:cs="Futura"/>
                                    <w:color w:val="000000" w:themeColor="text1"/>
                                    <w:sz w:val="44"/>
                                    <w:szCs w:val="44"/>
                                  </w:rPr>
                                </w:pPr>
                                <w:r w:rsidRPr="00854D93">
                                  <w:rPr>
                                    <w:rFonts w:ascii="Futura Bk BT" w:hAnsi="Futura Bk BT" w:cs="Futura"/>
                                    <w:color w:val="000000" w:themeColor="text1"/>
                                    <w:sz w:val="44"/>
                                    <w:szCs w:val="44"/>
                                  </w:rPr>
                                  <w:t>May 2020</w:t>
                                </w:r>
                              </w:p>
                              <w:p w14:paraId="5C473711" w14:textId="355F8FFE" w:rsidR="000B3EC1" w:rsidRPr="00854D93" w:rsidRDefault="000B3EC1">
                                <w:pPr>
                                  <w:rPr>
                                    <w:rFonts w:ascii="Futura Bk BT" w:hAnsi="Futura Bk BT" w:cs="Futura"/>
                                    <w:color w:val="000000" w:themeColor="text1"/>
                                    <w:sz w:val="44"/>
                                    <w:szCs w:val="44"/>
                                  </w:rPr>
                                </w:pPr>
                                <w:r>
                                  <w:rPr>
                                    <w:rFonts w:ascii="Futura Bk BT" w:hAnsi="Futura Bk BT" w:cs="Futura"/>
                                    <w:color w:val="000000" w:themeColor="text1"/>
                                    <w:sz w:val="44"/>
                                    <w:szCs w:val="44"/>
                                  </w:rPr>
                                  <w:t>Edited, November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3311C" id="_x0000_t202" coordsize="21600,21600" o:spt="202" path="m,l,21600r21600,l21600,xe">
                    <v:stroke joinstyle="miter"/>
                    <v:path gradientshapeok="t" o:connecttype="rect"/>
                  </v:shapetype>
                  <v:shape id="Text Box 2" o:spid="_x0000_s1029" type="#_x0000_t202" style="position:absolute;margin-left:-7.6pt;margin-top:346.85pt;width:356.2pt;height:79.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" filled="f" stroked="f">
                    <v:textbox>
                      <w:txbxContent>
                        <w:p w14:paraId="6D9134DA" w14:textId="1DF1B205" w:rsidR="009773A5" w:rsidRDefault="009773A5">
                          <w:pPr>
                            <w:rPr>
                              <w:rFonts w:ascii="Futura Bk BT" w:hAnsi="Futura Bk BT" w:cs="Futura"/>
                              <w:color w:val="000000" w:themeColor="text1"/>
                              <w:sz w:val="44"/>
                              <w:szCs w:val="44"/>
                            </w:rPr>
                          </w:pPr>
                          <w:r w:rsidRPr="00854D93">
                            <w:rPr>
                              <w:rFonts w:ascii="Futura Bk BT" w:hAnsi="Futura Bk BT" w:cs="Futura"/>
                              <w:color w:val="000000" w:themeColor="text1"/>
                              <w:sz w:val="44"/>
                              <w:szCs w:val="44"/>
                            </w:rPr>
                            <w:t>May 2020</w:t>
                          </w:r>
                        </w:p>
                        <w:p w14:paraId="5C473711" w14:textId="355F8FFE" w:rsidR="000B3EC1" w:rsidRPr="00854D93" w:rsidRDefault="000B3EC1">
                          <w:pPr>
                            <w:rPr>
                              <w:rFonts w:ascii="Futura Bk BT" w:hAnsi="Futura Bk BT" w:cs="Futura"/>
                              <w:color w:val="000000" w:themeColor="text1"/>
                              <w:sz w:val="44"/>
                              <w:szCs w:val="44"/>
                            </w:rPr>
                          </w:pPr>
                          <w:r>
                            <w:rPr>
                              <w:rFonts w:ascii="Futura Bk BT" w:hAnsi="Futura Bk BT" w:cs="Futura"/>
                              <w:color w:val="000000" w:themeColor="text1"/>
                              <w:sz w:val="44"/>
                              <w:szCs w:val="44"/>
                            </w:rPr>
                            <w:t>Edited, November 2021</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2096A806" wp14:editId="4CD637DF">
                    <wp:simplePos x="0" y="0"/>
                    <wp:positionH relativeFrom="page">
                      <wp:posOffset>1294765</wp:posOffset>
                    </wp:positionH>
                    <wp:positionV relativeFrom="margin">
                      <wp:posOffset>8566785</wp:posOffset>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65E75" w14:textId="581AE01F" w:rsidR="007C75E6" w:rsidRPr="009773A5" w:rsidRDefault="009773A5">
                                <w:pPr>
                                  <w:pStyle w:val="NoSpacing"/>
                                  <w:rPr>
                                    <w:color w:val="388467"/>
                                    <w:sz w:val="18"/>
                                    <w:szCs w:val="18"/>
                                    <w:lang w:val="en-GB"/>
                                  </w:rPr>
                                </w:pPr>
                                <w:r w:rsidRPr="009773A5">
                                  <w:rPr>
                                    <w:caps/>
                                    <w:color w:val="388467"/>
                                    <w:sz w:val="18"/>
                                    <w:szCs w:val="18"/>
                                    <w:lang w:val="en-GB"/>
                                  </w:rPr>
                                  <w:t>SUPPORTED BY THE NIGERIA CENTRE FOR DISEASE CONTROL</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2096A806" id="Text Box 128" o:spid="_x0000_s1030" type="#_x0000_t202" style="position:absolute;margin-left:101.95pt;margin-top:674.55pt;width:453pt;height:11.5pt;z-index:251664384;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" filled="f" stroked="f" strokeweight=".5pt">
                    <v:textbox style="mso-fit-shape-to-text:t" inset="1in,0,86.4pt,0">
                      <w:txbxContent>
                        <w:p w14:paraId="7E565E75" w14:textId="581AE01F" w:rsidR="007C75E6" w:rsidRPr="009773A5" w:rsidRDefault="009773A5">
                          <w:pPr>
                            <w:pStyle w:val="NoSpacing"/>
                            <w:rPr>
                              <w:color w:val="388467"/>
                              <w:sz w:val="18"/>
                              <w:szCs w:val="18"/>
                              <w:lang w:val="en-GB"/>
                            </w:rPr>
                          </w:pPr>
                          <w:r w:rsidRPr="009773A5">
                            <w:rPr>
                              <w:caps/>
                              <w:color w:val="388467"/>
                              <w:sz w:val="18"/>
                              <w:szCs w:val="18"/>
                              <w:lang w:val="en-GB"/>
                            </w:rPr>
                            <w:t>SUPPORTED BY THE NIGERIA CENTRE FOR DISEASE CONTROL</w:t>
                          </w:r>
                        </w:p>
                      </w:txbxContent>
                    </v:textbox>
                    <w10:wrap type="square" anchorx="page" anchory="margin"/>
                  </v:shape>
                </w:pict>
              </mc:Fallback>
            </mc:AlternateContent>
          </w:r>
          <w:sdt>
            <w:sdtPr>
              <w:rPr>
                <w:rFonts w:ascii="Futura" w:hAnsi="Futura" w:cs="Futura"/>
                <w:color w:val="388467"/>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Pr="00854D93">
                <w:rPr>
                  <w:rFonts w:ascii="Futura" w:hAnsi="Futura" w:cs="Futura"/>
                  <w:color w:val="388467"/>
                  <w:sz w:val="72"/>
                  <w:szCs w:val="72"/>
                </w:rPr>
                <w:t>GUIDANCE FOR PRIVATE SECTOR MEDICAL LABORATORIES THAT SEEK TO PROVIDE TESTING THROUGH COMPLETELY PRIVATE ARRANGEMENTS</w:t>
              </w:r>
            </w:sdtContent>
          </w:sdt>
          <w:r w:rsidR="008F0FBD">
            <w:object w:dxaOrig="1440" w:dyaOrig="1440" w14:anchorId="3212E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270pt;margin-top:507pt;width:152.25pt;height:135.4pt;z-index:251659264;mso-wrap-edited:f;mso-width-percent:0;mso-height-percent:0;mso-position-horizontal-relative:margin;mso-position-vertical-relative:text;mso-width-percent:0;mso-height-percent:0" wrapcoords="7376 1168 4741 3503 2107 8173 2107 10508 0 13427 527 16346 5268 19849 7902 21016 8429 21016 13698 21016 14224 21016 16859 19849 21073 16930 21600 12843 20546 8757 17912 4086 14751 1168 7376 1168">
                <v:imagedata r:id="rId9" o:title=""/>
                <w10:wrap type="through" anchorx="margin"/>
              </v:shape>
              <o:OLEObject Type="Embed" ProgID="CorelDraw.Graphic.12" ShapeID="_x0000_s2052" DrawAspect="Content" ObjectID="_1697885623" r:id="rId10"/>
            </w:object>
          </w:r>
          <w:r w:rsidR="008F0FBD">
            <w:object w:dxaOrig="1440" w:dyaOrig="1440" w14:anchorId="7654E645">
              <v:shape id="_x0000_s2051" type="#_x0000_t75" alt="" style="position:absolute;margin-left:45pt;margin-top:508.5pt;width:153pt;height:133.9pt;z-index:251658240;mso-wrap-edited:f;mso-width-percent:0;mso-height-percent:0;mso-position-horizontal-relative:margin;mso-position-vertical-relative:text;mso-width-percent:0;mso-height-percent:0" wrapcoords="10185 600 8078 1400 3161 4200 1932 5800 1932 7400 2985 10200 1756 10400 351 12000 351 13400 2810 16600 2283 19200 2283 20000 4566 21000 5093 21000 16507 21000 17385 21000 19668 20000 19141 16600 21600 13400 21600 12000 20195 10400 19317 10200 20195 8000 20371 6200 19141 4600 17912 3600 12644 1000 11239 600 10185 600">
                <v:imagedata r:id="rId11" o:title=""/>
                <w10:wrap type="through" anchorx="margin"/>
              </v:shape>
              <o:OLEObject Type="Embed" ProgID="CorelDraw.Graphic.12" ShapeID="_x0000_s2051" DrawAspect="Content" ObjectID="_1697885622" r:id="rId12"/>
            </w:object>
          </w:r>
          <w:r w:rsidR="007C75E6">
            <w:rPr>
              <w:b/>
              <w:sz w:val="28"/>
              <w:szCs w:val="28"/>
            </w:rPr>
            <w:br w:type="page"/>
          </w:r>
        </w:p>
      </w:sdtContent>
    </w:sdt>
    <w:p w14:paraId="73868A35" w14:textId="63DA0BEB" w:rsidR="009773A5" w:rsidRPr="009773A5" w:rsidRDefault="009773A5" w:rsidP="00F83E92">
      <w:pPr>
        <w:jc w:val="both"/>
        <w:rPr>
          <w:b/>
          <w:bCs/>
          <w:sz w:val="28"/>
          <w:szCs w:val="28"/>
        </w:rPr>
      </w:pPr>
      <w:r w:rsidRPr="009773A5">
        <w:rPr>
          <w:b/>
          <w:bCs/>
          <w:sz w:val="28"/>
          <w:szCs w:val="28"/>
        </w:rPr>
        <w:lastRenderedPageBreak/>
        <w:t>INTRODUCTION</w:t>
      </w:r>
    </w:p>
    <w:p w14:paraId="48F419FB" w14:textId="08F3295D" w:rsidR="00A37A61" w:rsidRDefault="009E60CF" w:rsidP="00F83E92">
      <w:pPr>
        <w:jc w:val="both"/>
      </w:pPr>
      <w:r>
        <w:t>The COVID</w:t>
      </w:r>
      <w:r w:rsidR="00577C06">
        <w:t>-</w:t>
      </w:r>
      <w:r>
        <w:t>19 pandemic has rapidly spread throughout the world, leading to significant impacts on healthcare systems and causing societal disruption. To respond effectively to the COVID</w:t>
      </w:r>
      <w:r w:rsidR="00577C06">
        <w:t>-</w:t>
      </w:r>
      <w:r>
        <w:t xml:space="preserve">19 outbreak, rapid detection of cases and contacts, appropriate clinical management and implementation of community mitigation efforts are critical. </w:t>
      </w:r>
    </w:p>
    <w:p w14:paraId="57959F47" w14:textId="77777777" w:rsidR="00A37A61" w:rsidRDefault="009E60CF" w:rsidP="00F83E92">
      <w:pPr>
        <w:jc w:val="both"/>
      </w:pPr>
      <w:r>
        <w:t>A key response strategy to reducing the impact of the COVID</w:t>
      </w:r>
      <w:r w:rsidR="00577C06">
        <w:t>-</w:t>
      </w:r>
      <w:r>
        <w:t xml:space="preserve">19 pandemic is to safely expand diagnostic testing to ensure a larger number of people can access testing during the public health emergency </w:t>
      </w:r>
      <w:r>
        <w:rPr>
          <w:vertAlign w:val="superscript"/>
        </w:rPr>
        <w:footnoteReference w:id="1"/>
      </w:r>
      <w:r>
        <w:t>. During the course of the COVID</w:t>
      </w:r>
      <w:r w:rsidR="00577C06">
        <w:t>-</w:t>
      </w:r>
      <w:r>
        <w:t xml:space="preserve">19 pandemic globally, </w:t>
      </w:r>
      <w:r w:rsidR="00A33616">
        <w:t>medical laboratories</w:t>
      </w:r>
      <w:r>
        <w:t xml:space="preserve"> from the private sector have been an important resource to assist with increasing the scale of testing through the provision of resources either through financial support or leveraging existing infrastructure and technical expertise. The Nigeria Centres for Disease Control (NCDC) has developed a national testing strategy that aims to harness the public and private sectors to rapidly expand diagnostic testing </w:t>
      </w:r>
    </w:p>
    <w:p w14:paraId="220C529E" w14:textId="77777777" w:rsidR="00A37A61" w:rsidRDefault="009E60CF" w:rsidP="00F83E92">
      <w:pPr>
        <w:jc w:val="both"/>
      </w:pPr>
      <w:r>
        <w:t xml:space="preserve">This guidance document has been developed to guide engagement with the private sector </w:t>
      </w:r>
      <w:r w:rsidR="00A33616">
        <w:t>medical laboratories</w:t>
      </w:r>
      <w:r>
        <w:t xml:space="preserve"> to help accelerate the availability of COVID</w:t>
      </w:r>
      <w:r w:rsidR="00577C06">
        <w:t>-</w:t>
      </w:r>
      <w:r>
        <w:t>19 diagnostic testing for the duration of the public health emergency. Throughout the following document, ‘private sector’ will refer to laboratory facilities which are for-profit or not-for-profit.</w:t>
      </w:r>
    </w:p>
    <w:p w14:paraId="4DCA397C" w14:textId="77777777" w:rsidR="00A37A61" w:rsidRDefault="009E60CF" w:rsidP="00F83E92">
      <w:pPr>
        <w:spacing w:before="120" w:after="120"/>
        <w:jc w:val="both"/>
      </w:pPr>
      <w:r>
        <w:t xml:space="preserve">In the national strategy, there are private </w:t>
      </w:r>
      <w:r w:rsidR="00A33616">
        <w:t>medical laboratories</w:t>
      </w:r>
      <w:r>
        <w:t xml:space="preserve"> that are being supported to provide testing to the public sector. This has been agreed with the State Governments in the states where they operate. For these private </w:t>
      </w:r>
      <w:r w:rsidR="00A33616">
        <w:t>medical laboratories</w:t>
      </w:r>
      <w:r>
        <w:t xml:space="preserve">, providing a public sector function, NCDC and its partners will continue to support the provision of reagents and consumables so that testing is conducted at no cost to the patient. </w:t>
      </w:r>
    </w:p>
    <w:p w14:paraId="620C2BD4" w14:textId="77777777" w:rsidR="00A37A61" w:rsidRDefault="009E60CF">
      <w:pPr>
        <w:spacing w:before="120" w:after="120"/>
        <w:rPr>
          <w:b/>
        </w:rPr>
      </w:pPr>
      <w:r>
        <w:rPr>
          <w:b/>
        </w:rPr>
        <w:t xml:space="preserve">To further expand testing, we are now providing this guidance for private sector </w:t>
      </w:r>
      <w:r w:rsidR="00A33616">
        <w:rPr>
          <w:b/>
        </w:rPr>
        <w:t>medical laboratories</w:t>
      </w:r>
      <w:r>
        <w:rPr>
          <w:b/>
        </w:rPr>
        <w:t xml:space="preserve"> that seek to provide testing through completely private arrangements. </w:t>
      </w:r>
    </w:p>
    <w:p w14:paraId="07FA3F6F" w14:textId="77777777" w:rsidR="00A37A61" w:rsidRDefault="009E60CF">
      <w:pPr>
        <w:spacing w:after="0"/>
        <w:rPr>
          <w:b/>
        </w:rPr>
      </w:pPr>
      <w:r>
        <w:rPr>
          <w:b/>
        </w:rPr>
        <w:t xml:space="preserve">Principles of engagement with the private sector </w:t>
      </w:r>
      <w:r w:rsidR="00A33616">
        <w:rPr>
          <w:b/>
        </w:rPr>
        <w:t>medical laboratories</w:t>
      </w:r>
      <w:r>
        <w:rPr>
          <w:b/>
        </w:rPr>
        <w:t>:</w:t>
      </w:r>
    </w:p>
    <w:p w14:paraId="26602984" w14:textId="77777777" w:rsidR="00A37A61" w:rsidRDefault="009E60CF">
      <w:pPr>
        <w:numPr>
          <w:ilvl w:val="0"/>
          <w:numId w:val="2"/>
        </w:numPr>
        <w:pBdr>
          <w:top w:val="nil"/>
          <w:left w:val="nil"/>
          <w:bottom w:val="nil"/>
          <w:right w:val="nil"/>
          <w:between w:val="nil"/>
        </w:pBdr>
        <w:spacing w:before="120" w:after="120"/>
        <w:ind w:left="714" w:hanging="357"/>
      </w:pPr>
      <w:r>
        <w:rPr>
          <w:color w:val="000000"/>
        </w:rPr>
        <w:t xml:space="preserve">All private sector </w:t>
      </w:r>
      <w:r w:rsidR="00A33616">
        <w:rPr>
          <w:color w:val="000000"/>
        </w:rPr>
        <w:t>medical laboratories</w:t>
      </w:r>
      <w:r>
        <w:rPr>
          <w:color w:val="000000"/>
        </w:rPr>
        <w:t xml:space="preserve"> should have </w:t>
      </w:r>
      <w:r>
        <w:rPr>
          <w:color w:val="000000"/>
          <w:u w:val="single"/>
        </w:rPr>
        <w:t>valid registration</w:t>
      </w:r>
      <w:r>
        <w:rPr>
          <w:color w:val="000000"/>
        </w:rPr>
        <w:t xml:space="preserve"> with the statutory national and state level authorities to perform diagnostic testing. </w:t>
      </w:r>
    </w:p>
    <w:p w14:paraId="52257C87" w14:textId="77777777" w:rsidR="00A37A61" w:rsidRDefault="009E60CF">
      <w:pPr>
        <w:numPr>
          <w:ilvl w:val="0"/>
          <w:numId w:val="2"/>
        </w:numPr>
        <w:pBdr>
          <w:top w:val="nil"/>
          <w:left w:val="nil"/>
          <w:bottom w:val="nil"/>
          <w:right w:val="nil"/>
          <w:between w:val="nil"/>
        </w:pBdr>
        <w:spacing w:before="120" w:after="120"/>
        <w:ind w:left="714" w:hanging="357"/>
        <w:jc w:val="both"/>
      </w:pPr>
      <w:r>
        <w:t>Fur</w:t>
      </w:r>
      <w:r w:rsidR="00A33616">
        <w:t>ther to Regulation 1 of Medical laboratories</w:t>
      </w:r>
      <w:r>
        <w:t xml:space="preserve"> Regulations for Inspection, Approval, Monitoring and Accreditation which empowers the MLSCN: " to inspect, monitor, evaluate and accredit Medical </w:t>
      </w:r>
      <w:r w:rsidR="00A33616">
        <w:t xml:space="preserve"> laboratories</w:t>
      </w:r>
      <w:r>
        <w:t xml:space="preserve"> to ensure the maintenance of good standard of Medical Laboratory practice, international best practices, improving and strengthening the capacity and qua</w:t>
      </w:r>
      <w:r w:rsidR="00F83E92">
        <w:t>lity of services of the Medical</w:t>
      </w:r>
      <w:r w:rsidR="00A33616">
        <w:t xml:space="preserve"> laboratories</w:t>
      </w:r>
      <w:r>
        <w:t>",  a</w:t>
      </w:r>
      <w:r>
        <w:rPr>
          <w:color w:val="000000"/>
        </w:rPr>
        <w:t xml:space="preserve">ll such private sector </w:t>
      </w:r>
      <w:r w:rsidR="00A33616">
        <w:rPr>
          <w:color w:val="000000"/>
        </w:rPr>
        <w:t>medical laboratories</w:t>
      </w:r>
      <w:r>
        <w:rPr>
          <w:color w:val="000000"/>
        </w:rPr>
        <w:t xml:space="preserve"> to be used for this purpose will be evaluated and coordinated under the MLSCN, who will provide details of status of any private sector laboratory to NCDC for appropriate reporting.</w:t>
      </w:r>
    </w:p>
    <w:p w14:paraId="03271D24" w14:textId="77777777" w:rsidR="00A37A61" w:rsidRDefault="009E60CF">
      <w:pPr>
        <w:numPr>
          <w:ilvl w:val="0"/>
          <w:numId w:val="2"/>
        </w:numPr>
        <w:pBdr>
          <w:top w:val="nil"/>
          <w:left w:val="nil"/>
          <w:bottom w:val="nil"/>
          <w:right w:val="nil"/>
          <w:between w:val="nil"/>
        </w:pBdr>
        <w:spacing w:before="120" w:after="120"/>
        <w:ind w:left="714" w:hanging="357"/>
        <w:jc w:val="both"/>
      </w:pPr>
      <w:r>
        <w:rPr>
          <w:color w:val="000000"/>
        </w:rPr>
        <w:t xml:space="preserve">All </w:t>
      </w:r>
      <w:r>
        <w:rPr>
          <w:color w:val="000000"/>
          <w:u w:val="single"/>
        </w:rPr>
        <w:t>staff working within the facilities should be appropriately trained</w:t>
      </w:r>
      <w:r>
        <w:rPr>
          <w:color w:val="000000"/>
        </w:rPr>
        <w:t xml:space="preserve"> and registered with appropriate national bodies. </w:t>
      </w:r>
    </w:p>
    <w:p w14:paraId="0E95963E" w14:textId="77777777" w:rsidR="00A37A61" w:rsidRDefault="009E60CF">
      <w:pPr>
        <w:numPr>
          <w:ilvl w:val="0"/>
          <w:numId w:val="2"/>
        </w:numPr>
        <w:pBdr>
          <w:top w:val="nil"/>
          <w:left w:val="nil"/>
          <w:bottom w:val="nil"/>
          <w:right w:val="nil"/>
          <w:between w:val="nil"/>
        </w:pBdr>
        <w:spacing w:before="120" w:after="120"/>
        <w:ind w:left="714" w:hanging="357"/>
        <w:jc w:val="both"/>
      </w:pPr>
      <w:r>
        <w:rPr>
          <w:color w:val="000000"/>
        </w:rPr>
        <w:lastRenderedPageBreak/>
        <w:t xml:space="preserve">The </w:t>
      </w:r>
      <w:r w:rsidR="00A33616">
        <w:rPr>
          <w:color w:val="000000"/>
        </w:rPr>
        <w:t>medical laboratories</w:t>
      </w:r>
      <w:r>
        <w:rPr>
          <w:color w:val="000000"/>
        </w:rPr>
        <w:t xml:space="preserve"> will provide evidence of implementation of quality management system to demonstrate the ability to produce accurate results. Such evidence includes accreditation, certification or on-going efforts to achieve accreditation or certification. </w:t>
      </w:r>
    </w:p>
    <w:p w14:paraId="1BB189CA" w14:textId="77777777" w:rsidR="00A37A61" w:rsidRDefault="00A33616">
      <w:pPr>
        <w:numPr>
          <w:ilvl w:val="0"/>
          <w:numId w:val="2"/>
        </w:numPr>
        <w:pBdr>
          <w:top w:val="nil"/>
          <w:left w:val="nil"/>
          <w:bottom w:val="nil"/>
          <w:right w:val="nil"/>
          <w:between w:val="nil"/>
        </w:pBdr>
        <w:spacing w:before="120" w:after="120"/>
        <w:ind w:left="714" w:hanging="357"/>
        <w:jc w:val="both"/>
      </w:pPr>
      <w:r>
        <w:rPr>
          <w:color w:val="000000"/>
        </w:rPr>
        <w:t>Medical laboratories</w:t>
      </w:r>
      <w:r w:rsidR="009E60CF">
        <w:rPr>
          <w:color w:val="000000"/>
        </w:rPr>
        <w:t xml:space="preserve"> that are working towards accreditation or certification will meet the following criteria</w:t>
      </w:r>
    </w:p>
    <w:p w14:paraId="04FFDCE2" w14:textId="77777777" w:rsidR="00A37A61" w:rsidRDefault="009E60CF">
      <w:pPr>
        <w:numPr>
          <w:ilvl w:val="0"/>
          <w:numId w:val="1"/>
        </w:numPr>
        <w:pBdr>
          <w:top w:val="nil"/>
          <w:left w:val="nil"/>
          <w:bottom w:val="nil"/>
          <w:right w:val="nil"/>
          <w:between w:val="nil"/>
        </w:pBdr>
        <w:spacing w:before="120" w:after="120"/>
        <w:ind w:left="1074"/>
      </w:pPr>
      <w:r>
        <w:rPr>
          <w:color w:val="000000"/>
        </w:rPr>
        <w:t>The laboratory should be participating in Proficiency testing or inter-laboratory comparison for a minimum of two laboratory tests of their choice.</w:t>
      </w:r>
    </w:p>
    <w:p w14:paraId="66C97D0D" w14:textId="77777777" w:rsidR="00A37A61" w:rsidRDefault="009E60CF">
      <w:pPr>
        <w:numPr>
          <w:ilvl w:val="0"/>
          <w:numId w:val="1"/>
        </w:numPr>
        <w:pBdr>
          <w:top w:val="nil"/>
          <w:left w:val="nil"/>
          <w:bottom w:val="nil"/>
          <w:right w:val="nil"/>
          <w:between w:val="nil"/>
        </w:pBdr>
        <w:spacing w:before="120" w:after="120"/>
        <w:ind w:left="1074"/>
      </w:pPr>
      <w:r>
        <w:rPr>
          <w:color w:val="000000"/>
        </w:rPr>
        <w:t>Have QMS documentations such as quality manual and documented procedures.</w:t>
      </w:r>
    </w:p>
    <w:p w14:paraId="5ACF4957" w14:textId="77777777" w:rsidR="00A37A61" w:rsidRDefault="009E60CF">
      <w:pPr>
        <w:numPr>
          <w:ilvl w:val="0"/>
          <w:numId w:val="1"/>
        </w:numPr>
        <w:pBdr>
          <w:top w:val="nil"/>
          <w:left w:val="nil"/>
          <w:bottom w:val="nil"/>
          <w:right w:val="nil"/>
          <w:between w:val="nil"/>
        </w:pBdr>
        <w:spacing w:before="120" w:after="120"/>
        <w:ind w:left="1074"/>
      </w:pPr>
      <w:r>
        <w:rPr>
          <w:color w:val="000000"/>
        </w:rPr>
        <w:t>The laboratory shall provide current validation/verification reports of the RT PCR equipment that will be used for the test.</w:t>
      </w:r>
    </w:p>
    <w:p w14:paraId="5D3D84D7" w14:textId="77777777" w:rsidR="00A37A61" w:rsidRDefault="009E60CF">
      <w:pPr>
        <w:numPr>
          <w:ilvl w:val="0"/>
          <w:numId w:val="1"/>
        </w:numPr>
        <w:pBdr>
          <w:top w:val="nil"/>
          <w:left w:val="nil"/>
          <w:bottom w:val="nil"/>
          <w:right w:val="nil"/>
          <w:between w:val="nil"/>
        </w:pBdr>
        <w:spacing w:before="120" w:after="120"/>
        <w:ind w:left="1074"/>
      </w:pPr>
      <w:r>
        <w:rPr>
          <w:color w:val="000000"/>
        </w:rPr>
        <w:t>Risk management and waste management plan of the laboratory.</w:t>
      </w:r>
    </w:p>
    <w:p w14:paraId="1C1E1E13" w14:textId="58ACB9AB" w:rsidR="00A37A61" w:rsidRDefault="005C12E1">
      <w:pPr>
        <w:numPr>
          <w:ilvl w:val="0"/>
          <w:numId w:val="2"/>
        </w:numPr>
        <w:pBdr>
          <w:top w:val="nil"/>
          <w:left w:val="nil"/>
          <w:bottom w:val="nil"/>
          <w:right w:val="nil"/>
          <w:between w:val="nil"/>
        </w:pBdr>
        <w:spacing w:before="120" w:after="120"/>
        <w:ind w:left="714" w:hanging="357"/>
        <w:jc w:val="both"/>
      </w:pPr>
      <w:r>
        <w:rPr>
          <w:color w:val="000000"/>
        </w:rPr>
        <w:t>Despite the use of Ag-RDTs in public sector testing, t</w:t>
      </w:r>
      <w:r w:rsidR="009E60CF">
        <w:rPr>
          <w:color w:val="000000"/>
        </w:rPr>
        <w:t xml:space="preserve">he currently approved mode of diagnosis </w:t>
      </w:r>
      <w:r>
        <w:rPr>
          <w:color w:val="000000"/>
        </w:rPr>
        <w:t>for travel-related purposes is still</w:t>
      </w:r>
      <w:r w:rsidR="009E60CF">
        <w:rPr>
          <w:color w:val="000000"/>
        </w:rPr>
        <w:t xml:space="preserve"> via </w:t>
      </w:r>
      <w:r w:rsidR="009E60CF">
        <w:rPr>
          <w:color w:val="000000"/>
          <w:u w:val="single"/>
        </w:rPr>
        <w:t>Real time Polymerase Chain Reaction (RT PCR)</w:t>
      </w:r>
      <w:r w:rsidR="009E60CF">
        <w:rPr>
          <w:color w:val="000000"/>
        </w:rPr>
        <w:t xml:space="preserve">. A test kit with at least two gene target assay should be used with analytical performance data of 100% clinical sensitivity and 100% clinical specificity. It is recommended that kits which have undergone independent evaluations should be used </w:t>
      </w:r>
      <w:r w:rsidR="009E60CF">
        <w:rPr>
          <w:color w:val="000000"/>
          <w:vertAlign w:val="superscript"/>
        </w:rPr>
        <w:footnoteReference w:id="2"/>
      </w:r>
      <w:r w:rsidR="00DD6FCA">
        <w:rPr>
          <w:color w:val="000000"/>
        </w:rPr>
        <w:t xml:space="preserve">, </w:t>
      </w:r>
      <w:r w:rsidR="00DD6FCA">
        <w:rPr>
          <w:rStyle w:val="FootnoteReference"/>
          <w:color w:val="000000"/>
        </w:rPr>
        <w:footnoteReference w:id="3"/>
      </w:r>
      <w:r w:rsidR="009E60CF">
        <w:rPr>
          <w:color w:val="000000"/>
        </w:rPr>
        <w:t>.</w:t>
      </w:r>
    </w:p>
    <w:p w14:paraId="4A747CF1" w14:textId="77777777" w:rsidR="00A37A61" w:rsidRDefault="009E60CF">
      <w:pPr>
        <w:numPr>
          <w:ilvl w:val="0"/>
          <w:numId w:val="2"/>
        </w:numPr>
        <w:pBdr>
          <w:top w:val="nil"/>
          <w:left w:val="nil"/>
          <w:bottom w:val="nil"/>
          <w:right w:val="nil"/>
          <w:between w:val="nil"/>
        </w:pBdr>
        <w:spacing w:before="120" w:after="120"/>
        <w:ind w:left="714" w:hanging="357"/>
        <w:jc w:val="both"/>
      </w:pPr>
      <w:r>
        <w:rPr>
          <w:color w:val="000000"/>
        </w:rPr>
        <w:t xml:space="preserve">The laboratory </w:t>
      </w:r>
      <w:r>
        <w:rPr>
          <w:color w:val="000000"/>
          <w:u w:val="single"/>
        </w:rPr>
        <w:t>test should be only offered when prescribed as per NCDC national guidance on case definition</w:t>
      </w:r>
      <w:r>
        <w:rPr>
          <w:color w:val="000000"/>
        </w:rPr>
        <w:t xml:space="preserve">.  </w:t>
      </w:r>
    </w:p>
    <w:p w14:paraId="71EA12AC" w14:textId="77777777" w:rsidR="00A37A61" w:rsidRDefault="009E60CF">
      <w:pPr>
        <w:numPr>
          <w:ilvl w:val="0"/>
          <w:numId w:val="2"/>
        </w:numPr>
        <w:pBdr>
          <w:top w:val="nil"/>
          <w:left w:val="nil"/>
          <w:bottom w:val="nil"/>
          <w:right w:val="nil"/>
          <w:between w:val="nil"/>
        </w:pBdr>
        <w:spacing w:before="120" w:after="120"/>
        <w:ind w:left="714" w:hanging="357"/>
        <w:jc w:val="both"/>
      </w:pPr>
      <w:r>
        <w:rPr>
          <w:color w:val="000000"/>
        </w:rPr>
        <w:t xml:space="preserve">Priority for testing should always be provided to </w:t>
      </w:r>
      <w:r>
        <w:rPr>
          <w:color w:val="000000"/>
          <w:u w:val="single"/>
        </w:rPr>
        <w:t>symptomatic patients</w:t>
      </w:r>
      <w:r>
        <w:rPr>
          <w:color w:val="000000"/>
        </w:rPr>
        <w:t xml:space="preserve">. </w:t>
      </w:r>
    </w:p>
    <w:p w14:paraId="3BDB4A9E" w14:textId="77777777" w:rsidR="00A37A61" w:rsidRDefault="009E60CF">
      <w:pPr>
        <w:numPr>
          <w:ilvl w:val="0"/>
          <w:numId w:val="2"/>
        </w:numPr>
        <w:pBdr>
          <w:top w:val="nil"/>
          <w:left w:val="nil"/>
          <w:bottom w:val="nil"/>
          <w:right w:val="nil"/>
          <w:between w:val="nil"/>
        </w:pBdr>
        <w:spacing w:before="120" w:after="120"/>
        <w:ind w:left="714" w:hanging="357"/>
        <w:jc w:val="both"/>
      </w:pPr>
      <w:r>
        <w:rPr>
          <w:color w:val="000000"/>
          <w:u w:val="single"/>
        </w:rPr>
        <w:t>Appropriate biosafety and infection prevention and control precautions should be taken when collecting the sample</w:t>
      </w:r>
      <w:r>
        <w:rPr>
          <w:color w:val="000000"/>
        </w:rPr>
        <w:t xml:space="preserve">. Samples should be collected in a room or setting with appropriate airflow and use of appropriate PPEs (N95 respirator, face shield, gloves, lab gowns) and </w:t>
      </w:r>
      <w:r>
        <w:rPr>
          <w:color w:val="000000"/>
          <w:u w:val="single"/>
        </w:rPr>
        <w:t>in appropriate sample medium e.g Viral Transport medium, normal saline</w:t>
      </w:r>
      <w:r>
        <w:rPr>
          <w:color w:val="000000"/>
        </w:rPr>
        <w:t xml:space="preserve"> (see national SOP on COVID sample collection. </w:t>
      </w:r>
    </w:p>
    <w:p w14:paraId="43F08BC4" w14:textId="77777777" w:rsidR="001A70BD" w:rsidRDefault="009E60CF" w:rsidP="001A70BD">
      <w:pPr>
        <w:numPr>
          <w:ilvl w:val="0"/>
          <w:numId w:val="2"/>
        </w:numPr>
        <w:pBdr>
          <w:top w:val="nil"/>
          <w:left w:val="nil"/>
          <w:bottom w:val="nil"/>
          <w:right w:val="nil"/>
          <w:between w:val="nil"/>
        </w:pBdr>
        <w:spacing w:before="120" w:after="120"/>
        <w:jc w:val="both"/>
      </w:pPr>
      <w:r>
        <w:rPr>
          <w:color w:val="000000"/>
          <w:u w:val="single"/>
        </w:rPr>
        <w:t>Appropriate biosafety and bio-security precautions should be ensured while performing diagnostic testing</w:t>
      </w:r>
      <w:r>
        <w:rPr>
          <w:color w:val="000000"/>
        </w:rPr>
        <w:t>. RNA extraction should be conducted in a b</w:t>
      </w:r>
      <w:r>
        <w:rPr>
          <w:color w:val="000000"/>
          <w:u w:val="single"/>
        </w:rPr>
        <w:t>iosafety level 2 or equivalent facility</w:t>
      </w:r>
      <w:r>
        <w:rPr>
          <w:color w:val="000000"/>
        </w:rPr>
        <w:t xml:space="preserve">. Use of the appropriate level PPE is also recommended; disposable gown, gloves, face shield, respirator mask.  </w:t>
      </w:r>
    </w:p>
    <w:p w14:paraId="7EA715A8" w14:textId="6C6A4FFE" w:rsidR="00A37A61" w:rsidRPr="00C60E54" w:rsidRDefault="009E60CF" w:rsidP="001A70BD">
      <w:pPr>
        <w:numPr>
          <w:ilvl w:val="0"/>
          <w:numId w:val="2"/>
        </w:numPr>
        <w:pBdr>
          <w:top w:val="nil"/>
          <w:left w:val="nil"/>
          <w:bottom w:val="nil"/>
          <w:right w:val="nil"/>
          <w:between w:val="nil"/>
        </w:pBdr>
        <w:spacing w:before="120" w:after="120"/>
        <w:jc w:val="both"/>
        <w:rPr>
          <w:rFonts w:asciiTheme="majorHAnsi" w:hAnsiTheme="majorHAnsi"/>
        </w:rPr>
      </w:pPr>
      <w:r w:rsidRPr="001A70BD">
        <w:rPr>
          <w:color w:val="000000"/>
        </w:rPr>
        <w:t xml:space="preserve">ALL </w:t>
      </w:r>
      <w:r w:rsidRPr="001A70BD">
        <w:rPr>
          <w:color w:val="000000"/>
          <w:u w:val="single"/>
        </w:rPr>
        <w:t>results from such tests MUST be communicated daily to NCDC</w:t>
      </w:r>
      <w:r w:rsidRPr="001A70BD">
        <w:rPr>
          <w:color w:val="000000"/>
        </w:rPr>
        <w:t xml:space="preserve"> via established communication channels for the national COVID testing laboratory network and using the standardized reporting templates</w:t>
      </w:r>
      <w:r w:rsidRPr="00D82B2D">
        <w:rPr>
          <w:color w:val="000000"/>
        </w:rPr>
        <w:t xml:space="preserve">. </w:t>
      </w:r>
      <w:r w:rsidR="001A70BD" w:rsidRPr="00D82B2D">
        <w:rPr>
          <w:rFonts w:asciiTheme="majorHAnsi" w:eastAsia="Times New Roman" w:hAnsiTheme="majorHAnsi" w:cs="Times New Roman"/>
          <w:lang w:val="en-NG" w:eastAsia="en-GB"/>
        </w:rPr>
        <w:t xml:space="preserve">Download the NCDC lab daily reporting linelist </w:t>
      </w:r>
      <w:hyperlink r:id="rId13" w:history="1">
        <w:r w:rsidR="004208B8" w:rsidRPr="00D82B2D">
          <w:rPr>
            <w:rStyle w:val="Hyperlink"/>
            <w:rFonts w:asciiTheme="majorHAnsi" w:eastAsia="Times New Roman" w:hAnsiTheme="majorHAnsi" w:cs="Times New Roman"/>
            <w:b/>
            <w:bCs/>
            <w:lang w:eastAsia="en-GB"/>
          </w:rPr>
          <w:t>HERE</w:t>
        </w:r>
      </w:hyperlink>
      <w:r w:rsidR="001A70BD" w:rsidRPr="00C60E54">
        <w:rPr>
          <w:rFonts w:asciiTheme="majorHAnsi" w:eastAsia="Times New Roman" w:hAnsiTheme="majorHAnsi" w:cs="Times New Roman"/>
          <w:sz w:val="24"/>
          <w:szCs w:val="24"/>
          <w:lang w:eastAsia="en-GB"/>
        </w:rPr>
        <w:t>.</w:t>
      </w:r>
    </w:p>
    <w:p w14:paraId="6AF6C265" w14:textId="77777777" w:rsidR="00A37A61" w:rsidRDefault="009E60CF">
      <w:pPr>
        <w:numPr>
          <w:ilvl w:val="0"/>
          <w:numId w:val="2"/>
        </w:numPr>
        <w:pBdr>
          <w:top w:val="nil"/>
          <w:left w:val="nil"/>
          <w:bottom w:val="nil"/>
          <w:right w:val="nil"/>
          <w:between w:val="nil"/>
        </w:pBdr>
        <w:spacing w:before="120" w:after="120"/>
        <w:jc w:val="both"/>
      </w:pPr>
      <w:r>
        <w:rPr>
          <w:color w:val="000000"/>
          <w:u w:val="single"/>
        </w:rPr>
        <w:t>Positive results are also to be immediately communicated to state authorities</w:t>
      </w:r>
      <w:r>
        <w:rPr>
          <w:color w:val="000000"/>
        </w:rPr>
        <w:t xml:space="preserve"> where the cases reside, with adequate information to inform a public health response.</w:t>
      </w:r>
    </w:p>
    <w:p w14:paraId="178C79FB" w14:textId="77777777" w:rsidR="00A37A61" w:rsidRDefault="009E60CF">
      <w:pPr>
        <w:numPr>
          <w:ilvl w:val="0"/>
          <w:numId w:val="2"/>
        </w:numPr>
        <w:pBdr>
          <w:top w:val="nil"/>
          <w:left w:val="nil"/>
          <w:bottom w:val="nil"/>
          <w:right w:val="nil"/>
          <w:between w:val="nil"/>
        </w:pBdr>
        <w:spacing w:before="120" w:after="120"/>
        <w:jc w:val="both"/>
      </w:pPr>
      <w:r>
        <w:rPr>
          <w:color w:val="000000"/>
        </w:rPr>
        <w:lastRenderedPageBreak/>
        <w:t xml:space="preserve">Private </w:t>
      </w:r>
      <w:r w:rsidR="00A33616">
        <w:rPr>
          <w:color w:val="000000"/>
        </w:rPr>
        <w:t>medical laboratories</w:t>
      </w:r>
      <w:r>
        <w:rPr>
          <w:color w:val="000000"/>
        </w:rPr>
        <w:t xml:space="preserve"> are responsible for bearing all their operational costs to provide diagnostic testing services.</w:t>
      </w:r>
    </w:p>
    <w:p w14:paraId="03304B35" w14:textId="1CDD18ED" w:rsidR="00A37A61" w:rsidRPr="00743F52" w:rsidRDefault="00A33616" w:rsidP="00EB4BE6">
      <w:pPr>
        <w:numPr>
          <w:ilvl w:val="0"/>
          <w:numId w:val="2"/>
        </w:numPr>
        <w:pBdr>
          <w:top w:val="nil"/>
          <w:left w:val="nil"/>
          <w:bottom w:val="nil"/>
          <w:right w:val="nil"/>
          <w:between w:val="nil"/>
        </w:pBdr>
        <w:spacing w:before="120" w:after="120"/>
        <w:jc w:val="both"/>
        <w:rPr>
          <w:rStyle w:val="Hyperlink"/>
          <w:color w:val="auto"/>
          <w:u w:val="none"/>
        </w:rPr>
      </w:pPr>
      <w:r>
        <w:t>Medical laboratories</w:t>
      </w:r>
      <w:r w:rsidR="009E60CF">
        <w:t xml:space="preserve"> th</w:t>
      </w:r>
      <w:r w:rsidR="00E7631B">
        <w:t xml:space="preserve">at meet requirements </w:t>
      </w:r>
      <w:proofErr w:type="spellStart"/>
      <w:r w:rsidR="00E7631B">
        <w:t>nos</w:t>
      </w:r>
      <w:proofErr w:type="spellEnd"/>
      <w:r w:rsidR="00E7631B">
        <w:t xml:space="preserve"> 1 - 13</w:t>
      </w:r>
      <w:r w:rsidR="009E60CF">
        <w:rPr>
          <w:color w:val="000000"/>
        </w:rPr>
        <w:t xml:space="preserve"> above, should apply and obtain </w:t>
      </w:r>
      <w:r w:rsidR="00E46E46" w:rsidRPr="00E46E46">
        <w:rPr>
          <w:b/>
          <w:bCs/>
          <w:color w:val="000000"/>
          <w:u w:val="single"/>
        </w:rPr>
        <w:t>*</w:t>
      </w:r>
      <w:r w:rsidR="009E60CF" w:rsidRPr="00E46E46">
        <w:rPr>
          <w:b/>
          <w:bCs/>
          <w:color w:val="000000"/>
          <w:u w:val="single"/>
        </w:rPr>
        <w:t>special appro</w:t>
      </w:r>
      <w:r w:rsidR="00577C06" w:rsidRPr="00E46E46">
        <w:rPr>
          <w:b/>
          <w:bCs/>
          <w:color w:val="000000"/>
          <w:u w:val="single"/>
        </w:rPr>
        <w:t>val</w:t>
      </w:r>
      <w:r w:rsidR="00577C06">
        <w:rPr>
          <w:color w:val="000000"/>
        </w:rPr>
        <w:t xml:space="preserve"> to offer COVID-19 </w:t>
      </w:r>
      <w:r w:rsidR="00EB4BE6">
        <w:rPr>
          <w:color w:val="000000"/>
        </w:rPr>
        <w:t xml:space="preserve">testing services from MLSCN by clicking or copying this link to your browser </w:t>
      </w:r>
      <w:hyperlink r:id="rId14" w:history="1">
        <w:r w:rsidR="00EB4BE6">
          <w:rPr>
            <w:rStyle w:val="Hyperlink"/>
          </w:rPr>
          <w:t>https://docs.google.com/forms/d/e/1FAIpQLSfH_ietMS0NeRDoTJoSW_MxEwE2zk4lXZASJPFft-T_91PHYA/viewform</w:t>
        </w:r>
      </w:hyperlink>
    </w:p>
    <w:p w14:paraId="6CA2381D" w14:textId="48CF8DDF" w:rsidR="00743F52" w:rsidRDefault="00743F52" w:rsidP="00743F52">
      <w:pPr>
        <w:pStyle w:val="ListParagraph"/>
        <w:numPr>
          <w:ilvl w:val="0"/>
          <w:numId w:val="2"/>
        </w:numPr>
        <w:spacing w:after="0" w:line="240" w:lineRule="auto"/>
      </w:pPr>
      <w:r>
        <w:t>Use MLSCN approval letter to engage state accreditation body e.g HEFAMAA, PHERMC</w:t>
      </w:r>
      <w:r w:rsidR="005E74BB">
        <w:t xml:space="preserve"> </w:t>
      </w:r>
      <w:r w:rsidR="005E74BB">
        <w:br/>
        <w:t xml:space="preserve">(find out which agency is responsible for this in the state your laboratory is located). </w:t>
      </w:r>
      <w:r>
        <w:t xml:space="preserve"> </w:t>
      </w:r>
      <w:r w:rsidR="005E74BB">
        <w:t>P</w:t>
      </w:r>
      <w:r>
        <w:t>lease note that some states will require the laboratory to sign an MoU in this regard</w:t>
      </w:r>
    </w:p>
    <w:p w14:paraId="61F41A4F" w14:textId="20F934C3" w:rsidR="00743F52" w:rsidRDefault="00743F52" w:rsidP="00743F52">
      <w:pPr>
        <w:numPr>
          <w:ilvl w:val="0"/>
          <w:numId w:val="2"/>
        </w:numPr>
        <w:pBdr>
          <w:top w:val="nil"/>
          <w:left w:val="nil"/>
          <w:bottom w:val="nil"/>
          <w:right w:val="nil"/>
          <w:between w:val="nil"/>
        </w:pBdr>
        <w:spacing w:before="120" w:after="120"/>
        <w:jc w:val="both"/>
      </w:pPr>
      <w:r>
        <w:t>Download and fill NCDC laboratory assessment checklist</w:t>
      </w:r>
      <w:r w:rsidR="009D233F">
        <w:t xml:space="preserve"> </w:t>
      </w:r>
      <w:hyperlink r:id="rId15" w:history="1">
        <w:r w:rsidR="004208B8" w:rsidRPr="004208B8">
          <w:rPr>
            <w:rStyle w:val="Hyperlink"/>
            <w:b/>
            <w:bCs/>
          </w:rPr>
          <w:t>HERE</w:t>
        </w:r>
      </w:hyperlink>
      <w:r>
        <w:t xml:space="preserve"> and email to </w:t>
      </w:r>
      <w:hyperlink r:id="rId16" w:history="1">
        <w:r w:rsidR="00056B53" w:rsidRPr="00020BEF">
          <w:rPr>
            <w:rStyle w:val="Hyperlink"/>
          </w:rPr>
          <w:t>ncdclabnetwork@ncdc.gov.ng</w:t>
        </w:r>
      </w:hyperlink>
      <w:r w:rsidR="00020ACE">
        <w:t>, requesting for an on-site validation of the laboratory, for inclusion into the national network</w:t>
      </w:r>
      <w:r w:rsidR="00056B53">
        <w:t xml:space="preserve"> – inc</w:t>
      </w:r>
      <w:r w:rsidR="00532F3A">
        <w:t xml:space="preserve">lude </w:t>
      </w:r>
      <w:r w:rsidR="00056B53">
        <w:t xml:space="preserve"> </w:t>
      </w:r>
      <w:r w:rsidR="00532F3A">
        <w:t>MLSCN a</w:t>
      </w:r>
      <w:r w:rsidR="00056B53">
        <w:t>pproval letter and documentation of state approval in the email.</w:t>
      </w:r>
    </w:p>
    <w:p w14:paraId="2A3C6D9D" w14:textId="77777777" w:rsidR="00020ACE" w:rsidRDefault="00020ACE" w:rsidP="00020ACE">
      <w:pPr>
        <w:pBdr>
          <w:top w:val="nil"/>
          <w:left w:val="nil"/>
          <w:bottom w:val="nil"/>
          <w:right w:val="nil"/>
          <w:between w:val="nil"/>
        </w:pBdr>
        <w:spacing w:before="120" w:after="120"/>
        <w:ind w:left="720"/>
        <w:jc w:val="both"/>
      </w:pPr>
    </w:p>
    <w:p w14:paraId="6EC1EC7E" w14:textId="79ABE014" w:rsidR="00A37A61" w:rsidRDefault="00E46E46" w:rsidP="00E46E46">
      <w:pPr>
        <w:pBdr>
          <w:top w:val="nil"/>
          <w:left w:val="nil"/>
          <w:bottom w:val="nil"/>
          <w:right w:val="nil"/>
          <w:between w:val="nil"/>
        </w:pBdr>
        <w:spacing w:before="120" w:after="120"/>
        <w:ind w:left="720"/>
        <w:jc w:val="both"/>
        <w:rPr>
          <w:b/>
        </w:rPr>
      </w:pPr>
      <w:r>
        <w:rPr>
          <w:b/>
        </w:rPr>
        <w:t>*</w:t>
      </w:r>
      <w:r w:rsidR="00A33616">
        <w:rPr>
          <w:b/>
        </w:rPr>
        <w:t>Medical laboratories</w:t>
      </w:r>
      <w:r w:rsidR="009E60CF">
        <w:rPr>
          <w:b/>
        </w:rPr>
        <w:t xml:space="preserve"> not granted this special approval and who act contrary to Regulati</w:t>
      </w:r>
      <w:r w:rsidR="00F83E92">
        <w:rPr>
          <w:b/>
        </w:rPr>
        <w:t>on 1 of the Medical</w:t>
      </w:r>
      <w:r w:rsidR="00A33616">
        <w:rPr>
          <w:b/>
        </w:rPr>
        <w:t xml:space="preserve"> </w:t>
      </w:r>
      <w:r w:rsidR="00EB4BE6">
        <w:rPr>
          <w:b/>
        </w:rPr>
        <w:t>Laboratories</w:t>
      </w:r>
      <w:r w:rsidR="009E60CF">
        <w:rPr>
          <w:b/>
        </w:rPr>
        <w:t xml:space="preserve"> Regulations for Inspection, Approval, Monitoring and Accreditation will be sanctioned in accordance with the provisions of the said Regulation.</w:t>
      </w:r>
    </w:p>
    <w:p w14:paraId="209A9F7B" w14:textId="789F6EA1" w:rsidR="00A37A61" w:rsidRDefault="00A37A61">
      <w:pPr>
        <w:pBdr>
          <w:top w:val="nil"/>
          <w:left w:val="nil"/>
          <w:bottom w:val="nil"/>
          <w:right w:val="nil"/>
          <w:between w:val="nil"/>
        </w:pBdr>
        <w:spacing w:before="120" w:after="120"/>
        <w:ind w:left="720"/>
        <w:jc w:val="both"/>
        <w:rPr>
          <w:color w:val="000000"/>
          <w:highlight w:val="yellow"/>
        </w:rPr>
      </w:pPr>
      <w:bookmarkStart w:id="0" w:name="_gjdgxs" w:colFirst="0" w:colLast="0"/>
      <w:bookmarkEnd w:id="0"/>
    </w:p>
    <w:p w14:paraId="17641DBD" w14:textId="76D589E3" w:rsidR="009773A5" w:rsidRDefault="009773A5">
      <w:pPr>
        <w:pBdr>
          <w:top w:val="nil"/>
          <w:left w:val="nil"/>
          <w:bottom w:val="nil"/>
          <w:right w:val="nil"/>
          <w:between w:val="nil"/>
        </w:pBdr>
        <w:spacing w:before="120" w:after="120"/>
        <w:ind w:left="720"/>
        <w:jc w:val="both"/>
        <w:rPr>
          <w:color w:val="000000"/>
          <w:highlight w:val="yellow"/>
        </w:rPr>
      </w:pPr>
    </w:p>
    <w:p w14:paraId="7917CC70" w14:textId="210AD203" w:rsidR="009773A5" w:rsidRDefault="009773A5">
      <w:pPr>
        <w:pBdr>
          <w:top w:val="nil"/>
          <w:left w:val="nil"/>
          <w:bottom w:val="nil"/>
          <w:right w:val="nil"/>
          <w:between w:val="nil"/>
        </w:pBdr>
        <w:spacing w:before="120" w:after="120"/>
        <w:ind w:left="720"/>
        <w:jc w:val="both"/>
        <w:rPr>
          <w:color w:val="000000"/>
          <w:highlight w:val="yellow"/>
        </w:rPr>
      </w:pPr>
    </w:p>
    <w:p w14:paraId="3727712A" w14:textId="7F2D3B4F" w:rsidR="009773A5" w:rsidRDefault="009773A5">
      <w:pPr>
        <w:pBdr>
          <w:top w:val="nil"/>
          <w:left w:val="nil"/>
          <w:bottom w:val="nil"/>
          <w:right w:val="nil"/>
          <w:between w:val="nil"/>
        </w:pBdr>
        <w:spacing w:before="120" w:after="120"/>
        <w:ind w:left="720"/>
        <w:jc w:val="both"/>
        <w:rPr>
          <w:color w:val="000000"/>
          <w:highlight w:val="yellow"/>
        </w:rPr>
      </w:pPr>
    </w:p>
    <w:p w14:paraId="05494ADA" w14:textId="67C93821" w:rsidR="009773A5" w:rsidRDefault="009773A5">
      <w:pPr>
        <w:pBdr>
          <w:top w:val="nil"/>
          <w:left w:val="nil"/>
          <w:bottom w:val="nil"/>
          <w:right w:val="nil"/>
          <w:between w:val="nil"/>
        </w:pBdr>
        <w:spacing w:before="120" w:after="120"/>
        <w:ind w:left="720"/>
        <w:jc w:val="both"/>
        <w:rPr>
          <w:color w:val="000000"/>
          <w:highlight w:val="yellow"/>
        </w:rPr>
      </w:pPr>
    </w:p>
    <w:p w14:paraId="2D7B26E7" w14:textId="77777777" w:rsidR="009773A5" w:rsidRDefault="009773A5">
      <w:pPr>
        <w:pBdr>
          <w:top w:val="nil"/>
          <w:left w:val="nil"/>
          <w:bottom w:val="nil"/>
          <w:right w:val="nil"/>
          <w:between w:val="nil"/>
        </w:pBdr>
        <w:spacing w:before="120" w:after="120"/>
        <w:ind w:left="720"/>
        <w:jc w:val="both"/>
        <w:rPr>
          <w:color w:val="000000"/>
          <w:highlight w:val="yellow"/>
        </w:rPr>
      </w:pPr>
    </w:p>
    <w:p w14:paraId="6F82A774" w14:textId="1410D9D6" w:rsidR="009773A5" w:rsidRPr="00A66F98" w:rsidRDefault="008F0FBD">
      <w:pPr>
        <w:rPr>
          <w:i/>
        </w:rPr>
      </w:pPr>
      <w:r>
        <w:rPr>
          <w:i/>
          <w:noProof/>
          <w:highlight w:val="yellow"/>
        </w:rPr>
        <w:object w:dxaOrig="1440" w:dyaOrig="1440" w14:anchorId="3212E1F9">
          <v:shape id="_x0000_s2050" type="#_x0000_t75" alt="" style="position:absolute;margin-left:114.75pt;margin-top:72.9pt;width:79.5pt;height:70.7pt;z-index:251666432;mso-wrap-edited:f;mso-width-percent:0;mso-height-percent:0;mso-position-horizontal-relative:margin;mso-position-vertical-relative:text;mso-width-percent:0;mso-height-percent:0" wrapcoords="7376 1168 4741 3503 2107 8173 2107 10508 0 13427 527 16346 5268 19849 7902 21016 8429 21016 13698 21016 14224 21016 16859 19849 21073 16930 21600 12843 20546 8757 17912 4086 14751 1168 7376 1168">
            <v:imagedata r:id="rId9" o:title=""/>
            <w10:wrap type="through" anchorx="margin"/>
          </v:shape>
          <o:OLEObject Type="Embed" ProgID="CorelDraw.Graphic.12" ShapeID="_x0000_s2050" DrawAspect="Content" ObjectID="_1697885621" r:id="rId17"/>
        </w:object>
      </w:r>
      <w:r w:rsidR="009773A5" w:rsidRPr="009773A5">
        <w:rPr>
          <w:i/>
          <w:noProof/>
          <w:highlight w:val="yellow"/>
        </w:rPr>
        <w:drawing>
          <wp:anchor distT="0" distB="0" distL="114300" distR="114300" simplePos="0" relativeHeight="251665408" behindDoc="0" locked="0" layoutInCell="1" allowOverlap="1" wp14:anchorId="54EA1852" wp14:editId="3BE87C6F">
            <wp:simplePos x="0" y="0"/>
            <wp:positionH relativeFrom="column">
              <wp:posOffset>3009900</wp:posOffset>
            </wp:positionH>
            <wp:positionV relativeFrom="paragraph">
              <wp:posOffset>1045845</wp:posOffset>
            </wp:positionV>
            <wp:extent cx="1742440" cy="571500"/>
            <wp:effectExtent l="0" t="0" r="0" b="0"/>
            <wp:wrapThrough wrapText="bothSides">
              <wp:wrapPolygon edited="0">
                <wp:start x="2598" y="0"/>
                <wp:lineTo x="708" y="4320"/>
                <wp:lineTo x="0" y="7200"/>
                <wp:lineTo x="0" y="15840"/>
                <wp:lineTo x="1417" y="20880"/>
                <wp:lineTo x="21254" y="20880"/>
                <wp:lineTo x="21254" y="0"/>
                <wp:lineTo x="2598"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CDC LOGO - Black by-line, for Lighter Backgroun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42440" cy="571500"/>
                    </a:xfrm>
                    <a:prstGeom prst="rect">
                      <a:avLst/>
                    </a:prstGeom>
                  </pic:spPr>
                </pic:pic>
              </a:graphicData>
            </a:graphic>
            <wp14:sizeRelH relativeFrom="margin">
              <wp14:pctWidth>0</wp14:pctWidth>
            </wp14:sizeRelH>
            <wp14:sizeRelV relativeFrom="margin">
              <wp14:pctHeight>0</wp14:pctHeight>
            </wp14:sizeRelV>
          </wp:anchor>
        </w:drawing>
      </w:r>
      <w:r w:rsidR="009E60CF" w:rsidRPr="009773A5">
        <w:rPr>
          <w:i/>
          <w:highlight w:val="yellow"/>
        </w:rPr>
        <w:t>This guidance document is published in collaboration with</w:t>
      </w:r>
      <w:r w:rsidR="009773A5" w:rsidRPr="009773A5">
        <w:rPr>
          <w:i/>
          <w:highlight w:val="yellow"/>
        </w:rPr>
        <w:t xml:space="preserve"> the</w:t>
      </w:r>
      <w:r w:rsidR="009E60CF" w:rsidRPr="009773A5">
        <w:rPr>
          <w:i/>
          <w:highlight w:val="yellow"/>
        </w:rPr>
        <w:t xml:space="preserve"> </w:t>
      </w:r>
      <w:r w:rsidR="009E60CF" w:rsidRPr="009773A5">
        <w:rPr>
          <w:b/>
          <w:bCs/>
          <w:i/>
          <w:highlight w:val="yellow"/>
        </w:rPr>
        <w:t>Nigeria Cent</w:t>
      </w:r>
      <w:r w:rsidR="009773A5" w:rsidRPr="009773A5">
        <w:rPr>
          <w:b/>
          <w:bCs/>
          <w:i/>
          <w:highlight w:val="yellow"/>
        </w:rPr>
        <w:t>re</w:t>
      </w:r>
      <w:r w:rsidR="009E60CF" w:rsidRPr="009773A5">
        <w:rPr>
          <w:b/>
          <w:bCs/>
          <w:i/>
          <w:highlight w:val="yellow"/>
        </w:rPr>
        <w:t xml:space="preserve"> for Disease Control (NCDC)</w:t>
      </w:r>
    </w:p>
    <w:sectPr w:rsidR="009773A5" w:rsidRPr="00A66F98" w:rsidSect="009773A5">
      <w:headerReference w:type="default" r:id="rId19"/>
      <w:footerReference w:type="default" r:id="rId20"/>
      <w:headerReference w:type="first" r:id="rId21"/>
      <w:pgSz w:w="12240" w:h="15840"/>
      <w:pgMar w:top="1560" w:right="1440" w:bottom="1440" w:left="1440"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93AF" w14:textId="77777777" w:rsidR="008F0FBD" w:rsidRDefault="008F0FBD">
      <w:pPr>
        <w:spacing w:after="0" w:line="240" w:lineRule="auto"/>
      </w:pPr>
      <w:r>
        <w:separator/>
      </w:r>
    </w:p>
  </w:endnote>
  <w:endnote w:type="continuationSeparator" w:id="0">
    <w:p w14:paraId="4B334EB7" w14:textId="77777777" w:rsidR="008F0FBD" w:rsidRDefault="008F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w:panose1 w:val="020B0602020204020303"/>
    <w:charset w:val="00"/>
    <w:family w:val="swiss"/>
    <w:pitch w:val="variable"/>
    <w:sig w:usb0="A0000AEF" w:usb1="5000214A" w:usb2="00000000" w:usb3="00000000" w:csb0="000001FF" w:csb1="00000000"/>
  </w:font>
  <w:font w:name="Futura Bk BT">
    <w:altName w:val="Century Gothic"/>
    <w:panose1 w:val="020B0602020204020303"/>
    <w:charset w:val="00"/>
    <w:family w:val="swiss"/>
    <w:pitch w:val="variable"/>
    <w:sig w:usb0="800008E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D3A2" w14:textId="77777777" w:rsidR="009773A5" w:rsidRPr="009773A5" w:rsidRDefault="009773A5" w:rsidP="009773A5">
    <w:pPr>
      <w:pStyle w:val="NoSpacing"/>
      <w:rPr>
        <w:color w:val="388467"/>
        <w:sz w:val="18"/>
        <w:szCs w:val="18"/>
        <w:lang w:val="en-GB"/>
      </w:rPr>
    </w:pPr>
    <w:r w:rsidRPr="009773A5">
      <w:rPr>
        <w:noProof/>
        <w:color w:val="BFBFBF" w:themeColor="background1" w:themeShade="BF"/>
      </w:rPr>
      <mc:AlternateContent>
        <mc:Choice Requires="wps">
          <w:drawing>
            <wp:anchor distT="0" distB="0" distL="114300" distR="114300" simplePos="0" relativeHeight="251659264" behindDoc="0" locked="0" layoutInCell="1" allowOverlap="1" wp14:anchorId="2F0670FF" wp14:editId="2529BA5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501F8D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9773A5">
      <w:rPr>
        <w:color w:val="BFBFBF" w:themeColor="background1" w:themeShade="BF"/>
      </w:rPr>
      <w:t xml:space="preserve"> </w:t>
    </w:r>
    <w:r w:rsidRPr="009773A5">
      <w:rPr>
        <w:rFonts w:asciiTheme="majorHAnsi" w:eastAsiaTheme="majorEastAsia" w:hAnsiTheme="majorHAnsi" w:cstheme="majorBidi"/>
        <w:color w:val="BFBFBF" w:themeColor="background1" w:themeShade="BF"/>
        <w:sz w:val="20"/>
        <w:szCs w:val="20"/>
      </w:rPr>
      <w:t xml:space="preserve">pg. </w:t>
    </w:r>
    <w:r w:rsidRPr="009773A5">
      <w:rPr>
        <w:color w:val="BFBFBF" w:themeColor="background1" w:themeShade="BF"/>
        <w:sz w:val="20"/>
        <w:szCs w:val="20"/>
      </w:rPr>
      <w:fldChar w:fldCharType="begin"/>
    </w:r>
    <w:r w:rsidRPr="009773A5">
      <w:rPr>
        <w:color w:val="BFBFBF" w:themeColor="background1" w:themeShade="BF"/>
        <w:sz w:val="20"/>
        <w:szCs w:val="20"/>
      </w:rPr>
      <w:instrText xml:space="preserve"> PAGE    \* MERGEFORMAT </w:instrText>
    </w:r>
    <w:r w:rsidRPr="009773A5">
      <w:rPr>
        <w:color w:val="BFBFBF" w:themeColor="background1" w:themeShade="BF"/>
        <w:sz w:val="20"/>
        <w:szCs w:val="20"/>
      </w:rPr>
      <w:fldChar w:fldCharType="separate"/>
    </w:r>
    <w:r w:rsidRPr="009773A5">
      <w:rPr>
        <w:rFonts w:asciiTheme="majorHAnsi" w:eastAsiaTheme="majorEastAsia" w:hAnsiTheme="majorHAnsi" w:cstheme="majorBidi"/>
        <w:noProof/>
        <w:color w:val="BFBFBF" w:themeColor="background1" w:themeShade="BF"/>
        <w:sz w:val="20"/>
        <w:szCs w:val="20"/>
      </w:rPr>
      <w:t>2</w:t>
    </w:r>
    <w:r w:rsidRPr="009773A5">
      <w:rPr>
        <w:rFonts w:asciiTheme="majorHAnsi" w:eastAsiaTheme="majorEastAsia" w:hAnsiTheme="majorHAnsi" w:cstheme="majorBidi"/>
        <w:noProof/>
        <w:color w:val="BFBFBF" w:themeColor="background1" w:themeShade="BF"/>
        <w:sz w:val="20"/>
        <w:szCs w:val="20"/>
      </w:rPr>
      <w:fldChar w:fldCharType="end"/>
    </w:r>
    <w:r>
      <w:rPr>
        <w:rFonts w:asciiTheme="majorHAnsi" w:eastAsiaTheme="majorEastAsia" w:hAnsiTheme="majorHAnsi" w:cstheme="majorBidi"/>
        <w:noProof/>
        <w:color w:val="4F81BD" w:themeColor="accent1"/>
        <w:sz w:val="20"/>
        <w:szCs w:val="20"/>
      </w:rPr>
      <w:t xml:space="preserve"> </w:t>
    </w:r>
    <w:r w:rsidRPr="009773A5">
      <w:rPr>
        <w:caps/>
        <w:color w:val="388467"/>
        <w:sz w:val="18"/>
        <w:szCs w:val="18"/>
        <w:lang w:val="en-GB"/>
      </w:rPr>
      <w:t>SUPPORTED BY THE NIGERIA CENTRE FOR DISEASE CONTROL</w:t>
    </w:r>
  </w:p>
  <w:p w14:paraId="72C6003F" w14:textId="7C799D5A" w:rsidR="00D73DED" w:rsidRDefault="00D73DE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A824" w14:textId="77777777" w:rsidR="008F0FBD" w:rsidRDefault="008F0FBD">
      <w:pPr>
        <w:spacing w:after="0" w:line="240" w:lineRule="auto"/>
      </w:pPr>
      <w:r>
        <w:separator/>
      </w:r>
    </w:p>
  </w:footnote>
  <w:footnote w:type="continuationSeparator" w:id="0">
    <w:p w14:paraId="24AE39F2" w14:textId="77777777" w:rsidR="008F0FBD" w:rsidRDefault="008F0FBD">
      <w:pPr>
        <w:spacing w:after="0" w:line="240" w:lineRule="auto"/>
      </w:pPr>
      <w:r>
        <w:continuationSeparator/>
      </w:r>
    </w:p>
  </w:footnote>
  <w:footnote w:id="1">
    <w:p w14:paraId="7CD3782D" w14:textId="77777777" w:rsidR="00D73DED" w:rsidRDefault="00D73DE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https://covid19.ncdc.gov.ng/media/files/COVID19TestingStrategy_2ZWBQwh.pdf</w:t>
        </w:r>
      </w:hyperlink>
    </w:p>
  </w:footnote>
  <w:footnote w:id="2">
    <w:p w14:paraId="57B64BFC" w14:textId="77777777" w:rsidR="00D73DED" w:rsidRDefault="00D73DE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https://www.finddx.org/covid-19/sarscov2-eval-molecular/molecular-eval-results/</w:t>
        </w:r>
      </w:hyperlink>
    </w:p>
  </w:footnote>
  <w:footnote w:id="3">
    <w:p w14:paraId="34E9171F" w14:textId="77777777" w:rsidR="00DD6FCA" w:rsidRPr="00DD6FCA" w:rsidRDefault="00DD6FCA" w:rsidP="00DD6FCA">
      <w:pPr>
        <w:rPr>
          <w:color w:val="0000FF"/>
          <w:sz w:val="20"/>
          <w:szCs w:val="20"/>
          <w:u w:val="single"/>
        </w:rPr>
      </w:pPr>
      <w:r>
        <w:rPr>
          <w:rStyle w:val="FootnoteReference"/>
        </w:rPr>
        <w:footnoteRef/>
      </w:r>
      <w:r>
        <w:t xml:space="preserve"> </w:t>
      </w:r>
      <w:hyperlink r:id="rId3" w:tgtFrame="_blank" w:history="1">
        <w:r w:rsidRPr="00DD6FCA">
          <w:rPr>
            <w:color w:val="0000FF"/>
            <w:sz w:val="20"/>
            <w:szCs w:val="20"/>
          </w:rPr>
          <w:t>https://extranet.who.int/pqweb/key-resources/documents/who-emergency-use-listing-vitro-diagnostics-ivds-detecting-sars-cov-2-2</w:t>
        </w:r>
      </w:hyperlink>
      <w:r w:rsidRPr="00DD6FCA">
        <w:rPr>
          <w:color w:val="0000FF"/>
          <w:sz w:val="20"/>
          <w:szCs w:val="20"/>
          <w:u w:val="single"/>
        </w:rPr>
        <w:t> </w:t>
      </w:r>
    </w:p>
    <w:p w14:paraId="755BAF7B" w14:textId="6D28C472" w:rsidR="00DD6FCA" w:rsidRDefault="00DD6FC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CF9C" w14:textId="7E031B57" w:rsidR="009773A5" w:rsidRPr="009773A5" w:rsidRDefault="009773A5" w:rsidP="009773A5">
    <w:pPr>
      <w:rPr>
        <w:bCs/>
        <w:color w:val="BFBFBF" w:themeColor="background1" w:themeShade="BF"/>
      </w:rPr>
    </w:pPr>
    <w:r w:rsidRPr="009773A5">
      <w:rPr>
        <w:bCs/>
        <w:color w:val="BFBFBF" w:themeColor="background1" w:themeShade="BF"/>
      </w:rPr>
      <w:t>COVID-19:  GUIDANCE FOR PRIVATE SECTOR MEDICAL LABORATORIES THAT SEEK TO PROVIDE TESTING THROUGH COMPLETELY PRIVATE ARRANGEMENTS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4781" w14:textId="30B6E848" w:rsidR="009773A5" w:rsidRDefault="009773A5">
    <w:pPr>
      <w:pStyle w:val="Header"/>
    </w:pPr>
  </w:p>
  <w:p w14:paraId="14A42DE9" w14:textId="77777777" w:rsidR="009773A5" w:rsidRDefault="00977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9773B"/>
    <w:multiLevelType w:val="multilevel"/>
    <w:tmpl w:val="E0FE0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CB5CD6"/>
    <w:multiLevelType w:val="hybridMultilevel"/>
    <w:tmpl w:val="63960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D05748"/>
    <w:multiLevelType w:val="multilevel"/>
    <w:tmpl w:val="4DDC56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A61"/>
    <w:rsid w:val="00020ACE"/>
    <w:rsid w:val="00056B53"/>
    <w:rsid w:val="000B3EC1"/>
    <w:rsid w:val="001A70BD"/>
    <w:rsid w:val="001B5640"/>
    <w:rsid w:val="001D29F9"/>
    <w:rsid w:val="004208B8"/>
    <w:rsid w:val="004851B7"/>
    <w:rsid w:val="00485280"/>
    <w:rsid w:val="004D3A38"/>
    <w:rsid w:val="00532F3A"/>
    <w:rsid w:val="00550764"/>
    <w:rsid w:val="00577C06"/>
    <w:rsid w:val="00585AD5"/>
    <w:rsid w:val="005C12E1"/>
    <w:rsid w:val="005E74BB"/>
    <w:rsid w:val="00620C3C"/>
    <w:rsid w:val="006B3532"/>
    <w:rsid w:val="00743F52"/>
    <w:rsid w:val="007802B9"/>
    <w:rsid w:val="007C75E6"/>
    <w:rsid w:val="00854D93"/>
    <w:rsid w:val="008F0FBD"/>
    <w:rsid w:val="0093075C"/>
    <w:rsid w:val="00966CD6"/>
    <w:rsid w:val="009773A5"/>
    <w:rsid w:val="009D233F"/>
    <w:rsid w:val="009E60CF"/>
    <w:rsid w:val="00A33616"/>
    <w:rsid w:val="00A37A61"/>
    <w:rsid w:val="00A66F98"/>
    <w:rsid w:val="00B163FC"/>
    <w:rsid w:val="00C60E54"/>
    <w:rsid w:val="00D73DED"/>
    <w:rsid w:val="00D82B2D"/>
    <w:rsid w:val="00DB1BE4"/>
    <w:rsid w:val="00DD6FCA"/>
    <w:rsid w:val="00E46E46"/>
    <w:rsid w:val="00E52313"/>
    <w:rsid w:val="00E7631B"/>
    <w:rsid w:val="00EB352D"/>
    <w:rsid w:val="00EB4BE6"/>
    <w:rsid w:val="00F0687D"/>
    <w:rsid w:val="00F06DF7"/>
    <w:rsid w:val="00F8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5BB4024"/>
  <w15:docId w15:val="{569E9426-6736-4314-82BC-B8F82F11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3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616"/>
    <w:rPr>
      <w:rFonts w:ascii="Segoe UI" w:hAnsi="Segoe UI" w:cs="Segoe UI"/>
      <w:sz w:val="18"/>
      <w:szCs w:val="18"/>
    </w:rPr>
  </w:style>
  <w:style w:type="character" w:styleId="Hyperlink">
    <w:name w:val="Hyperlink"/>
    <w:basedOn w:val="DefaultParagraphFont"/>
    <w:uiPriority w:val="99"/>
    <w:unhideWhenUsed/>
    <w:rsid w:val="00EB4BE6"/>
    <w:rPr>
      <w:color w:val="0000FF"/>
      <w:u w:val="single"/>
    </w:rPr>
  </w:style>
  <w:style w:type="paragraph" w:styleId="ListParagraph">
    <w:name w:val="List Paragraph"/>
    <w:basedOn w:val="Normal"/>
    <w:uiPriority w:val="34"/>
    <w:qFormat/>
    <w:rsid w:val="00EB4BE6"/>
    <w:pPr>
      <w:ind w:left="720"/>
      <w:contextualSpacing/>
    </w:pPr>
  </w:style>
  <w:style w:type="paragraph" w:styleId="NoSpacing">
    <w:name w:val="No Spacing"/>
    <w:link w:val="NoSpacingChar"/>
    <w:uiPriority w:val="1"/>
    <w:qFormat/>
    <w:rsid w:val="007C75E6"/>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7C75E6"/>
    <w:rPr>
      <w:rFonts w:asciiTheme="minorHAnsi" w:eastAsiaTheme="minorEastAsia" w:hAnsiTheme="minorHAnsi" w:cstheme="minorBidi"/>
    </w:rPr>
  </w:style>
  <w:style w:type="paragraph" w:styleId="Header">
    <w:name w:val="header"/>
    <w:basedOn w:val="Normal"/>
    <w:link w:val="HeaderChar"/>
    <w:uiPriority w:val="99"/>
    <w:unhideWhenUsed/>
    <w:rsid w:val="00977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3A5"/>
  </w:style>
  <w:style w:type="paragraph" w:styleId="Footer">
    <w:name w:val="footer"/>
    <w:basedOn w:val="Normal"/>
    <w:link w:val="FooterChar"/>
    <w:uiPriority w:val="99"/>
    <w:unhideWhenUsed/>
    <w:rsid w:val="00977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3A5"/>
  </w:style>
  <w:style w:type="character" w:styleId="UnresolvedMention">
    <w:name w:val="Unresolved Mention"/>
    <w:basedOn w:val="DefaultParagraphFont"/>
    <w:uiPriority w:val="99"/>
    <w:semiHidden/>
    <w:unhideWhenUsed/>
    <w:rsid w:val="009D233F"/>
    <w:rPr>
      <w:color w:val="605E5C"/>
      <w:shd w:val="clear" w:color="auto" w:fill="E1DFDD"/>
    </w:rPr>
  </w:style>
  <w:style w:type="character" w:styleId="FollowedHyperlink">
    <w:name w:val="FollowedHyperlink"/>
    <w:basedOn w:val="DefaultParagraphFont"/>
    <w:uiPriority w:val="99"/>
    <w:semiHidden/>
    <w:unhideWhenUsed/>
    <w:rsid w:val="006B3532"/>
    <w:rPr>
      <w:color w:val="800080" w:themeColor="followedHyperlink"/>
      <w:u w:val="single"/>
    </w:rPr>
  </w:style>
  <w:style w:type="paragraph" w:styleId="FootnoteText">
    <w:name w:val="footnote text"/>
    <w:basedOn w:val="Normal"/>
    <w:link w:val="FootnoteTextChar"/>
    <w:uiPriority w:val="99"/>
    <w:semiHidden/>
    <w:unhideWhenUsed/>
    <w:rsid w:val="00DD6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FCA"/>
    <w:rPr>
      <w:sz w:val="20"/>
      <w:szCs w:val="20"/>
    </w:rPr>
  </w:style>
  <w:style w:type="character" w:styleId="FootnoteReference">
    <w:name w:val="footnote reference"/>
    <w:basedOn w:val="DefaultParagraphFont"/>
    <w:uiPriority w:val="99"/>
    <w:semiHidden/>
    <w:unhideWhenUsed/>
    <w:rsid w:val="00DD6F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38463">
      <w:bodyDiv w:val="1"/>
      <w:marLeft w:val="0"/>
      <w:marRight w:val="0"/>
      <w:marTop w:val="0"/>
      <w:marBottom w:val="0"/>
      <w:divBdr>
        <w:top w:val="none" w:sz="0" w:space="0" w:color="auto"/>
        <w:left w:val="none" w:sz="0" w:space="0" w:color="auto"/>
        <w:bottom w:val="none" w:sz="0" w:space="0" w:color="auto"/>
        <w:right w:val="none" w:sz="0" w:space="0" w:color="auto"/>
      </w:divBdr>
    </w:div>
    <w:div w:id="923103727">
      <w:bodyDiv w:val="1"/>
      <w:marLeft w:val="0"/>
      <w:marRight w:val="0"/>
      <w:marTop w:val="0"/>
      <w:marBottom w:val="0"/>
      <w:divBdr>
        <w:top w:val="none" w:sz="0" w:space="0" w:color="auto"/>
        <w:left w:val="none" w:sz="0" w:space="0" w:color="auto"/>
        <w:bottom w:val="none" w:sz="0" w:space="0" w:color="auto"/>
        <w:right w:val="none" w:sz="0" w:space="0" w:color="auto"/>
      </w:divBdr>
    </w:div>
    <w:div w:id="936402399">
      <w:bodyDiv w:val="1"/>
      <w:marLeft w:val="0"/>
      <w:marRight w:val="0"/>
      <w:marTop w:val="0"/>
      <w:marBottom w:val="0"/>
      <w:divBdr>
        <w:top w:val="none" w:sz="0" w:space="0" w:color="auto"/>
        <w:left w:val="none" w:sz="0" w:space="0" w:color="auto"/>
        <w:bottom w:val="none" w:sz="0" w:space="0" w:color="auto"/>
        <w:right w:val="none" w:sz="0" w:space="0" w:color="auto"/>
      </w:divBdr>
    </w:div>
    <w:div w:id="1690570428">
      <w:bodyDiv w:val="1"/>
      <w:marLeft w:val="0"/>
      <w:marRight w:val="0"/>
      <w:marTop w:val="0"/>
      <w:marBottom w:val="0"/>
      <w:divBdr>
        <w:top w:val="none" w:sz="0" w:space="0" w:color="auto"/>
        <w:left w:val="none" w:sz="0" w:space="0" w:color="auto"/>
        <w:bottom w:val="none" w:sz="0" w:space="0" w:color="auto"/>
        <w:right w:val="none" w:sz="0" w:space="0" w:color="auto"/>
      </w:divBdr>
    </w:div>
    <w:div w:id="1936329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vid19.ncdc.gov.ng/media/files/COVID-19_Laboratory_Linelist_Reporting_Form.xlsx"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hyperlink" Target="mailto:ncdclabnetwork@ncdc.gov.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s://covid19.ncdc.gov.ng/media/files/COVID_19_lab_assessment_draft_v2.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docs.google.com/forms/d/e/1FAIpQLSfH_ietMS0NeRDoTJoSW_MxEwE2zk4lXZASJPFft-T_91PHYA/viewfor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xtranet.who.int/pqweb/key-resources/documents/who-emergency-use-listing-vitro-diagnostics-ivds-detecting-sars-cov-2-2" TargetMode="External"/><Relationship Id="rId2" Type="http://schemas.openxmlformats.org/officeDocument/2006/relationships/hyperlink" Target="https://www.finddx.org/covid-19/sarscov2-eval-molecular/molecular-eval-results/" TargetMode="External"/><Relationship Id="rId1" Type="http://schemas.openxmlformats.org/officeDocument/2006/relationships/hyperlink" Target="https://covid19.ncdc.gov.ng/media/files/COVID19TestingStrategy_2ZWBQw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18CEF0-2140-7944-A8E6-6C93D1A7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PRIVATE SECTOR MEDICAL LABORATORIES THAT SEEK TO PROVIDE TESTING THROUGH COMPLETELY PRIVATE ARRANGEMENTS</dc:title>
  <dc:creator>Lawrena Okoro</dc:creator>
  <cp:lastModifiedBy>celestina obiekea</cp:lastModifiedBy>
  <cp:revision>3</cp:revision>
  <cp:lastPrinted>2020-05-27T20:37:00Z</cp:lastPrinted>
  <dcterms:created xsi:type="dcterms:W3CDTF">2021-11-08T13:06:00Z</dcterms:created>
  <dcterms:modified xsi:type="dcterms:W3CDTF">2021-11-08T13:07:00Z</dcterms:modified>
</cp:coreProperties>
</file>